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5E015" w14:textId="2B4651D6" w:rsidR="003853F8" w:rsidRPr="00373A0C" w:rsidRDefault="004B0A8D" w:rsidP="00373A0C">
      <w:pPr>
        <w:spacing w:after="120"/>
        <w:rPr>
          <w:rFonts w:ascii="Arial" w:hAnsi="Arial" w:cs="Arial"/>
          <w:b/>
        </w:rPr>
      </w:pPr>
      <w:r w:rsidRPr="00373A0C">
        <w:rPr>
          <w:rFonts w:ascii="Arial" w:hAnsi="Arial" w:cs="Arial"/>
          <w:b/>
        </w:rPr>
        <w:t>Instructions for applicants</w:t>
      </w:r>
      <w:r w:rsidR="00373A0C" w:rsidRPr="00373A0C">
        <w:rPr>
          <w:rFonts w:ascii="Arial" w:hAnsi="Arial" w:cs="Arial"/>
          <w:b/>
        </w:rPr>
        <w:t xml:space="preserve"> – </w:t>
      </w:r>
      <w:r w:rsidR="00AE019D" w:rsidRPr="00373A0C">
        <w:rPr>
          <w:rFonts w:ascii="Arial" w:hAnsi="Arial" w:cs="Arial"/>
          <w:b/>
        </w:rPr>
        <w:t xml:space="preserve">ISHR Early Career Investigator Bursaries for Laboratory Visits, World Congress Buenos Aires, 2016 </w:t>
      </w:r>
    </w:p>
    <w:p w14:paraId="6CCF38E5" w14:textId="77777777" w:rsidR="00373A0C" w:rsidRPr="00373A0C" w:rsidRDefault="00373A0C" w:rsidP="00373A0C">
      <w:pPr>
        <w:widowControl w:val="0"/>
        <w:autoSpaceDE w:val="0"/>
        <w:autoSpaceDN w:val="0"/>
        <w:adjustRightInd w:val="0"/>
        <w:spacing w:after="120"/>
        <w:rPr>
          <w:rFonts w:ascii="Arial" w:hAnsi="Arial" w:cs="Arial"/>
          <w:sz w:val="22"/>
          <w:szCs w:val="22"/>
          <w:lang w:val="en-US"/>
        </w:rPr>
      </w:pPr>
    </w:p>
    <w:p w14:paraId="64C6AAE4" w14:textId="335B50EE" w:rsidR="00373A0C" w:rsidRPr="00373A0C" w:rsidRDefault="0010770C" w:rsidP="00373A0C">
      <w:pPr>
        <w:widowControl w:val="0"/>
        <w:autoSpaceDE w:val="0"/>
        <w:autoSpaceDN w:val="0"/>
        <w:adjustRightInd w:val="0"/>
        <w:spacing w:after="120"/>
        <w:rPr>
          <w:rFonts w:ascii="Arial" w:hAnsi="Arial" w:cs="Arial"/>
          <w:sz w:val="22"/>
          <w:szCs w:val="22"/>
          <w:lang w:val="en-US"/>
        </w:rPr>
      </w:pPr>
      <w:r w:rsidRPr="00373A0C">
        <w:rPr>
          <w:rFonts w:ascii="Arial" w:hAnsi="Arial" w:cs="Arial"/>
          <w:sz w:val="22"/>
          <w:szCs w:val="22"/>
          <w:lang w:val="en-US"/>
        </w:rPr>
        <w:t>Following on from the success of this initiative at the World Congress in San Diego in 2013, the ISHR International Council will sponsor five laboratory visit bursaries for Early Career Investigators (ECI) to undertake training in new techniques/methods at local Section institutes within the host region of the World Congress in 2016.</w:t>
      </w:r>
    </w:p>
    <w:p w14:paraId="3496D6DA" w14:textId="513C8BD5" w:rsidR="00373A0C" w:rsidRPr="00373A0C" w:rsidRDefault="0010770C" w:rsidP="00373A0C">
      <w:pPr>
        <w:widowControl w:val="0"/>
        <w:autoSpaceDE w:val="0"/>
        <w:autoSpaceDN w:val="0"/>
        <w:adjustRightInd w:val="0"/>
        <w:spacing w:after="120"/>
        <w:rPr>
          <w:rFonts w:ascii="Arial" w:hAnsi="Arial" w:cs="Arial"/>
          <w:sz w:val="22"/>
          <w:szCs w:val="22"/>
          <w:lang w:val="en-US"/>
        </w:rPr>
      </w:pPr>
      <w:r w:rsidRPr="00373A0C">
        <w:rPr>
          <w:rFonts w:ascii="Arial" w:hAnsi="Arial" w:cs="Arial"/>
          <w:sz w:val="22"/>
          <w:szCs w:val="22"/>
          <w:lang w:val="en-US"/>
        </w:rPr>
        <w:t>The purpose of the bursaries is to facilitate training visits for ECI to laboratories located in the World Congress host city/locale (i.e. Latin American Section). It is hoped that the bursaries will support ECI skill development, collaboration establishment and foster exchange between sections. </w:t>
      </w:r>
    </w:p>
    <w:p w14:paraId="19BD43DC" w14:textId="1ACD4E43" w:rsidR="00373A0C" w:rsidRPr="00373A0C" w:rsidRDefault="0010770C" w:rsidP="00373A0C">
      <w:pPr>
        <w:widowControl w:val="0"/>
        <w:autoSpaceDE w:val="0"/>
        <w:autoSpaceDN w:val="0"/>
        <w:adjustRightInd w:val="0"/>
        <w:spacing w:after="120"/>
        <w:rPr>
          <w:rFonts w:ascii="Arial" w:hAnsi="Arial" w:cs="Arial"/>
          <w:sz w:val="22"/>
          <w:szCs w:val="22"/>
          <w:lang w:val="en-US"/>
        </w:rPr>
      </w:pPr>
      <w:r w:rsidRPr="00373A0C">
        <w:rPr>
          <w:rFonts w:ascii="Arial" w:hAnsi="Arial" w:cs="Arial"/>
          <w:sz w:val="22"/>
          <w:szCs w:val="22"/>
          <w:lang w:val="en-US"/>
        </w:rPr>
        <w:t>Five training bursaries of USD 1000 will be awarded to successful applicants prior to the World Congress. Bursaries are specifically for subsidizing travel and accommodation costs related to visiting the nominated lab to train in a new technique. Lab visits should occur immediately before or after the Congress and the expected duration is at least one week. </w:t>
      </w:r>
    </w:p>
    <w:p w14:paraId="149E9F05" w14:textId="7BE38B91" w:rsidR="004B0A8D" w:rsidRPr="00373A0C" w:rsidRDefault="0010770C" w:rsidP="00373A0C">
      <w:pPr>
        <w:widowControl w:val="0"/>
        <w:autoSpaceDE w:val="0"/>
        <w:autoSpaceDN w:val="0"/>
        <w:adjustRightInd w:val="0"/>
        <w:spacing w:after="120"/>
        <w:rPr>
          <w:rFonts w:ascii="Arial" w:hAnsi="Arial" w:cs="Arial"/>
          <w:sz w:val="22"/>
          <w:szCs w:val="22"/>
          <w:lang w:val="en-US"/>
        </w:rPr>
      </w:pPr>
      <w:r w:rsidRPr="00373A0C">
        <w:rPr>
          <w:rFonts w:ascii="Arial" w:hAnsi="Arial" w:cs="Arial"/>
          <w:sz w:val="22"/>
          <w:szCs w:val="22"/>
          <w:lang w:val="en-US"/>
        </w:rPr>
        <w:t>Details regarding eligibility criteria, selection criteria and the application process are outlined below. The relevant forms are available for download from the World Congress website: </w:t>
      </w:r>
      <w:hyperlink r:id="rId8" w:history="1">
        <w:r w:rsidRPr="00373A0C">
          <w:rPr>
            <w:rFonts w:ascii="Arial" w:hAnsi="Arial" w:cs="Arial"/>
            <w:color w:val="0000E9"/>
            <w:sz w:val="22"/>
            <w:szCs w:val="22"/>
            <w:u w:val="single" w:color="0000E9"/>
            <w:lang w:val="en-US"/>
          </w:rPr>
          <w:t>http://www.ishrbuenosaires2016.org.ar/early-career-investigator-events</w:t>
        </w:r>
      </w:hyperlink>
      <w:r w:rsidRPr="00373A0C">
        <w:rPr>
          <w:rFonts w:ascii="Arial" w:hAnsi="Arial" w:cs="Arial"/>
          <w:sz w:val="22"/>
          <w:szCs w:val="22"/>
          <w:lang w:val="en-US"/>
        </w:rPr>
        <w:t xml:space="preserve">. </w:t>
      </w:r>
    </w:p>
    <w:p w14:paraId="0CE12086" w14:textId="514018AF" w:rsidR="00373A0C" w:rsidRPr="00373A0C" w:rsidRDefault="0010770C" w:rsidP="00373A0C">
      <w:pPr>
        <w:widowControl w:val="0"/>
        <w:autoSpaceDE w:val="0"/>
        <w:autoSpaceDN w:val="0"/>
        <w:adjustRightInd w:val="0"/>
        <w:spacing w:after="120"/>
        <w:rPr>
          <w:rFonts w:ascii="Arial" w:hAnsi="Arial" w:cs="Arial"/>
          <w:sz w:val="22"/>
          <w:szCs w:val="22"/>
          <w:lang w:val="en-US"/>
        </w:rPr>
      </w:pPr>
      <w:r w:rsidRPr="00373A0C">
        <w:rPr>
          <w:rFonts w:ascii="Arial" w:hAnsi="Arial" w:cs="Arial"/>
          <w:sz w:val="22"/>
          <w:szCs w:val="22"/>
          <w:lang w:val="en-US"/>
        </w:rPr>
        <w:t xml:space="preserve">A list of potential host laboratories is also available via the website. Please note that this list is not comprehensive; all laboratories in the Latin American Section that satisfy the eligibility and selection criteria </w:t>
      </w:r>
      <w:r w:rsidR="004B0A8D" w:rsidRPr="00373A0C">
        <w:rPr>
          <w:rFonts w:ascii="Arial" w:hAnsi="Arial" w:cs="Arial"/>
          <w:sz w:val="22"/>
          <w:szCs w:val="22"/>
          <w:lang w:val="en-US"/>
        </w:rPr>
        <w:t>below</w:t>
      </w:r>
      <w:r w:rsidRPr="00373A0C">
        <w:rPr>
          <w:rFonts w:ascii="Arial" w:hAnsi="Arial" w:cs="Arial"/>
          <w:sz w:val="22"/>
          <w:szCs w:val="22"/>
          <w:lang w:val="en-US"/>
        </w:rPr>
        <w:t xml:space="preserve"> are potential host laboratories.</w:t>
      </w:r>
    </w:p>
    <w:p w14:paraId="327B9613" w14:textId="2D02C537" w:rsidR="0010770C" w:rsidRPr="00373A0C" w:rsidRDefault="0010770C" w:rsidP="00373A0C">
      <w:pPr>
        <w:widowControl w:val="0"/>
        <w:autoSpaceDE w:val="0"/>
        <w:autoSpaceDN w:val="0"/>
        <w:adjustRightInd w:val="0"/>
        <w:spacing w:after="120"/>
        <w:rPr>
          <w:rFonts w:ascii="Arial" w:hAnsi="Arial" w:cs="Arial"/>
          <w:sz w:val="22"/>
          <w:szCs w:val="22"/>
          <w:lang w:val="en-US"/>
        </w:rPr>
      </w:pPr>
      <w:r w:rsidRPr="00373A0C">
        <w:rPr>
          <w:rFonts w:ascii="Arial" w:hAnsi="Arial" w:cs="Arial"/>
          <w:sz w:val="22"/>
          <w:szCs w:val="22"/>
          <w:lang w:val="en-US"/>
        </w:rPr>
        <w:t xml:space="preserve">The </w:t>
      </w:r>
      <w:r w:rsidR="007F1FE2">
        <w:rPr>
          <w:rFonts w:ascii="Arial" w:hAnsi="Arial" w:cs="Arial"/>
          <w:sz w:val="22"/>
          <w:szCs w:val="22"/>
          <w:lang w:val="en-US"/>
        </w:rPr>
        <w:t xml:space="preserve">new </w:t>
      </w:r>
      <w:r w:rsidRPr="00373A0C">
        <w:rPr>
          <w:rFonts w:ascii="Arial" w:hAnsi="Arial" w:cs="Arial"/>
          <w:sz w:val="22"/>
          <w:szCs w:val="22"/>
          <w:lang w:val="en-US"/>
        </w:rPr>
        <w:t>deadline for applications is </w:t>
      </w:r>
      <w:r w:rsidR="007F1FE2" w:rsidRPr="007F1FE2">
        <w:rPr>
          <w:rFonts w:ascii="Arial" w:hAnsi="Arial" w:cs="Arial"/>
          <w:b/>
          <w:sz w:val="22"/>
          <w:szCs w:val="22"/>
          <w:lang w:val="en-US"/>
        </w:rPr>
        <w:t>Wednesday</w:t>
      </w:r>
      <w:r w:rsidR="007F1FE2">
        <w:rPr>
          <w:rFonts w:ascii="Arial" w:hAnsi="Arial" w:cs="Arial"/>
          <w:sz w:val="22"/>
          <w:szCs w:val="22"/>
          <w:lang w:val="en-US"/>
        </w:rPr>
        <w:t xml:space="preserve"> </w:t>
      </w:r>
      <w:r w:rsidR="007F1FE2">
        <w:rPr>
          <w:rFonts w:ascii="Arial" w:hAnsi="Arial" w:cs="Arial"/>
          <w:b/>
          <w:bCs/>
          <w:sz w:val="22"/>
          <w:szCs w:val="22"/>
          <w:lang w:val="en-US"/>
        </w:rPr>
        <w:t>20</w:t>
      </w:r>
      <w:r w:rsidRPr="00373A0C">
        <w:rPr>
          <w:rFonts w:ascii="Arial" w:hAnsi="Arial" w:cs="Arial"/>
          <w:b/>
          <w:bCs/>
          <w:sz w:val="22"/>
          <w:szCs w:val="22"/>
          <w:lang w:val="en-US"/>
        </w:rPr>
        <w:t>th January, 2016</w:t>
      </w:r>
      <w:r w:rsidRPr="00373A0C">
        <w:rPr>
          <w:rFonts w:ascii="Arial" w:hAnsi="Arial" w:cs="Arial"/>
          <w:sz w:val="22"/>
          <w:szCs w:val="22"/>
          <w:lang w:val="en-US"/>
        </w:rPr>
        <w:t>. Applicants will be advised of the outcome of their application by Friday 2</w:t>
      </w:r>
      <w:r w:rsidR="009E6E7D">
        <w:rPr>
          <w:rFonts w:ascii="Arial" w:hAnsi="Arial" w:cs="Arial"/>
          <w:sz w:val="22"/>
          <w:szCs w:val="22"/>
          <w:lang w:val="en-US"/>
        </w:rPr>
        <w:t>9th</w:t>
      </w:r>
      <w:bookmarkStart w:id="0" w:name="_GoBack"/>
      <w:bookmarkEnd w:id="0"/>
      <w:r w:rsidRPr="00373A0C">
        <w:rPr>
          <w:rFonts w:ascii="Arial" w:hAnsi="Arial" w:cs="Arial"/>
          <w:sz w:val="22"/>
          <w:szCs w:val="22"/>
          <w:lang w:val="en-US"/>
        </w:rPr>
        <w:t xml:space="preserve"> January. </w:t>
      </w:r>
    </w:p>
    <w:p w14:paraId="29B2D573" w14:textId="77777777" w:rsidR="00AE019D" w:rsidRPr="00373A0C" w:rsidRDefault="00AE019D" w:rsidP="00373A0C">
      <w:pPr>
        <w:spacing w:after="120"/>
        <w:rPr>
          <w:rFonts w:ascii="Arial" w:hAnsi="Arial" w:cs="Arial"/>
          <w:sz w:val="22"/>
          <w:szCs w:val="22"/>
        </w:rPr>
      </w:pPr>
    </w:p>
    <w:p w14:paraId="1232D2A6" w14:textId="42C7F083" w:rsidR="00373A0C" w:rsidRPr="00373A0C" w:rsidRDefault="002E76BE" w:rsidP="00373A0C">
      <w:pPr>
        <w:widowControl w:val="0"/>
        <w:autoSpaceDE w:val="0"/>
        <w:autoSpaceDN w:val="0"/>
        <w:adjustRightInd w:val="0"/>
        <w:spacing w:after="120"/>
        <w:rPr>
          <w:rFonts w:ascii="Arial" w:hAnsi="Arial" w:cs="Arial"/>
          <w:b/>
          <w:bCs/>
          <w:sz w:val="22"/>
          <w:szCs w:val="22"/>
          <w:lang w:val="en-US"/>
        </w:rPr>
      </w:pPr>
      <w:r w:rsidRPr="00373A0C">
        <w:rPr>
          <w:rFonts w:ascii="Arial" w:hAnsi="Arial" w:cs="Arial"/>
          <w:b/>
          <w:bCs/>
          <w:sz w:val="22"/>
          <w:szCs w:val="22"/>
          <w:lang w:val="en-US"/>
        </w:rPr>
        <w:t>Eligibility criteria</w:t>
      </w:r>
    </w:p>
    <w:p w14:paraId="46E243B7" w14:textId="77777777" w:rsidR="002E76BE" w:rsidRPr="00373A0C" w:rsidRDefault="002E76BE" w:rsidP="00373A0C">
      <w:pPr>
        <w:pStyle w:val="Prrafodelista"/>
        <w:widowControl w:val="0"/>
        <w:numPr>
          <w:ilvl w:val="0"/>
          <w:numId w:val="11"/>
        </w:numPr>
        <w:tabs>
          <w:tab w:val="left" w:pos="220"/>
          <w:tab w:val="left" w:pos="720"/>
        </w:tabs>
        <w:autoSpaceDE w:val="0"/>
        <w:autoSpaceDN w:val="0"/>
        <w:adjustRightInd w:val="0"/>
        <w:spacing w:after="120"/>
        <w:rPr>
          <w:rFonts w:ascii="Arial" w:hAnsi="Arial" w:cs="Arial"/>
          <w:sz w:val="22"/>
          <w:szCs w:val="22"/>
          <w:lang w:val="en-US"/>
        </w:rPr>
      </w:pPr>
      <w:r w:rsidRPr="00373A0C">
        <w:rPr>
          <w:rFonts w:ascii="Arial" w:hAnsi="Arial" w:cs="Arial"/>
          <w:sz w:val="22"/>
          <w:szCs w:val="22"/>
          <w:lang w:val="en-US"/>
        </w:rPr>
        <w:t>The travel bursaries are targeted at ECI, including students and fellows. Eligibility for the award will usually be limited to those within seven years of their terminal degree (e.g. MD or PhD) at the commencement of the Congress (18th April 2016). A certificate of proof is required. Career-delay issues may be considered in allowing extra time eligibility.</w:t>
      </w:r>
    </w:p>
    <w:p w14:paraId="714CAB7A" w14:textId="6C354522" w:rsidR="002E76BE" w:rsidRPr="00373A0C" w:rsidRDefault="007F1FE2" w:rsidP="007F1FE2">
      <w:pPr>
        <w:pStyle w:val="Prrafodelista"/>
        <w:widowControl w:val="0"/>
        <w:numPr>
          <w:ilvl w:val="0"/>
          <w:numId w:val="11"/>
        </w:numPr>
        <w:tabs>
          <w:tab w:val="left" w:pos="220"/>
          <w:tab w:val="left" w:pos="720"/>
        </w:tabs>
        <w:autoSpaceDE w:val="0"/>
        <w:autoSpaceDN w:val="0"/>
        <w:adjustRightInd w:val="0"/>
        <w:spacing w:after="120"/>
        <w:rPr>
          <w:rFonts w:ascii="Arial" w:hAnsi="Arial" w:cs="Arial"/>
          <w:sz w:val="22"/>
          <w:szCs w:val="22"/>
          <w:lang w:val="en-US"/>
        </w:rPr>
      </w:pPr>
      <w:r w:rsidRPr="007F1FE2">
        <w:rPr>
          <w:rFonts w:ascii="Arial" w:hAnsi="Arial" w:cs="Arial"/>
          <w:sz w:val="22"/>
          <w:szCs w:val="22"/>
          <w:lang w:val="en-US"/>
        </w:rPr>
        <w:t xml:space="preserve">The head of the host lab must be a member in good standing of the ISHR (i.e. a paid ISHR member for 12 months or longer). The applicant must also be a paid member of the ISHR for 12 months or longer, unless they commenced their PhD less than two years prior to </w:t>
      </w:r>
      <w:r>
        <w:rPr>
          <w:rFonts w:ascii="Arial" w:hAnsi="Arial" w:cs="Arial"/>
          <w:sz w:val="22"/>
          <w:szCs w:val="22"/>
          <w:lang w:val="en-US"/>
        </w:rPr>
        <w:t>the opening day of the Congress</w:t>
      </w:r>
      <w:r w:rsidR="002E76BE" w:rsidRPr="00373A0C">
        <w:rPr>
          <w:rFonts w:ascii="Arial" w:hAnsi="Arial" w:cs="Arial"/>
          <w:sz w:val="22"/>
          <w:szCs w:val="22"/>
          <w:lang w:val="en-US"/>
        </w:rPr>
        <w:t>.</w:t>
      </w:r>
    </w:p>
    <w:p w14:paraId="255B6C05" w14:textId="77777777" w:rsidR="002E76BE" w:rsidRPr="00373A0C" w:rsidRDefault="002E76BE" w:rsidP="00373A0C">
      <w:pPr>
        <w:pStyle w:val="Prrafodelista"/>
        <w:widowControl w:val="0"/>
        <w:numPr>
          <w:ilvl w:val="0"/>
          <w:numId w:val="11"/>
        </w:numPr>
        <w:tabs>
          <w:tab w:val="left" w:pos="220"/>
          <w:tab w:val="left" w:pos="720"/>
        </w:tabs>
        <w:autoSpaceDE w:val="0"/>
        <w:autoSpaceDN w:val="0"/>
        <w:adjustRightInd w:val="0"/>
        <w:spacing w:after="120"/>
        <w:rPr>
          <w:rFonts w:ascii="Arial" w:hAnsi="Arial" w:cs="Arial"/>
          <w:sz w:val="22"/>
          <w:szCs w:val="22"/>
          <w:lang w:val="en-US"/>
        </w:rPr>
      </w:pPr>
      <w:r w:rsidRPr="00373A0C">
        <w:rPr>
          <w:rFonts w:ascii="Arial" w:hAnsi="Arial" w:cs="Arial"/>
          <w:sz w:val="22"/>
          <w:szCs w:val="22"/>
          <w:lang w:val="en-US"/>
        </w:rPr>
        <w:t>Applicants must be first or last author of an abstract presented at the Congress, and must attend the Congress to be eligible. </w:t>
      </w:r>
    </w:p>
    <w:p w14:paraId="3F4BC9AB" w14:textId="77777777" w:rsidR="002E76BE" w:rsidRPr="00373A0C" w:rsidRDefault="002E76BE" w:rsidP="00373A0C">
      <w:pPr>
        <w:pStyle w:val="Prrafodelista"/>
        <w:widowControl w:val="0"/>
        <w:numPr>
          <w:ilvl w:val="0"/>
          <w:numId w:val="11"/>
        </w:numPr>
        <w:tabs>
          <w:tab w:val="left" w:pos="220"/>
          <w:tab w:val="left" w:pos="720"/>
        </w:tabs>
        <w:autoSpaceDE w:val="0"/>
        <w:autoSpaceDN w:val="0"/>
        <w:adjustRightInd w:val="0"/>
        <w:spacing w:after="120"/>
        <w:rPr>
          <w:rFonts w:ascii="Arial" w:hAnsi="Arial" w:cs="Arial"/>
          <w:sz w:val="22"/>
          <w:szCs w:val="22"/>
          <w:lang w:val="en-US"/>
        </w:rPr>
      </w:pPr>
      <w:r w:rsidRPr="00373A0C">
        <w:rPr>
          <w:rFonts w:ascii="Arial" w:hAnsi="Arial" w:cs="Arial"/>
          <w:sz w:val="22"/>
          <w:szCs w:val="22"/>
          <w:lang w:val="en-US"/>
        </w:rPr>
        <w:t>Lab visits must be within the local Sectional region of the World Congress. As the 2016 Congress is in Buenos Aires, this encompasses all regions of the Latin American Section.</w:t>
      </w:r>
    </w:p>
    <w:p w14:paraId="7D722798" w14:textId="430891B2" w:rsidR="00373A0C" w:rsidRPr="00373A0C" w:rsidRDefault="002E76BE" w:rsidP="00373A0C">
      <w:pPr>
        <w:pStyle w:val="Prrafodelista"/>
        <w:widowControl w:val="0"/>
        <w:numPr>
          <w:ilvl w:val="0"/>
          <w:numId w:val="11"/>
        </w:numPr>
        <w:tabs>
          <w:tab w:val="left" w:pos="220"/>
          <w:tab w:val="left" w:pos="720"/>
        </w:tabs>
        <w:autoSpaceDE w:val="0"/>
        <w:autoSpaceDN w:val="0"/>
        <w:adjustRightInd w:val="0"/>
        <w:spacing w:after="120"/>
        <w:rPr>
          <w:rFonts w:ascii="Arial" w:hAnsi="Arial" w:cs="Arial"/>
          <w:sz w:val="22"/>
          <w:szCs w:val="22"/>
          <w:lang w:val="en-US"/>
        </w:rPr>
      </w:pPr>
      <w:r w:rsidRPr="00373A0C">
        <w:rPr>
          <w:rFonts w:ascii="Arial" w:hAnsi="Arial" w:cs="Arial"/>
          <w:sz w:val="22"/>
          <w:szCs w:val="22"/>
          <w:lang w:val="en-US"/>
        </w:rPr>
        <w:t>A bursary application consists of the completed application form (which contains host sponsor confirmation) and a one page CV. </w:t>
      </w:r>
    </w:p>
    <w:p w14:paraId="1F65DD25" w14:textId="77777777" w:rsidR="00373A0C" w:rsidRPr="00373A0C" w:rsidRDefault="00373A0C" w:rsidP="00373A0C">
      <w:pPr>
        <w:widowControl w:val="0"/>
        <w:autoSpaceDE w:val="0"/>
        <w:autoSpaceDN w:val="0"/>
        <w:adjustRightInd w:val="0"/>
        <w:spacing w:after="120"/>
        <w:rPr>
          <w:rFonts w:ascii="Arial" w:hAnsi="Arial" w:cs="Arial"/>
          <w:b/>
          <w:bCs/>
          <w:sz w:val="22"/>
          <w:szCs w:val="22"/>
          <w:lang w:val="en-US"/>
        </w:rPr>
      </w:pPr>
    </w:p>
    <w:p w14:paraId="03F10503" w14:textId="0B62B300" w:rsidR="00373A0C" w:rsidRPr="00373A0C" w:rsidRDefault="002E76BE" w:rsidP="00373A0C">
      <w:pPr>
        <w:widowControl w:val="0"/>
        <w:autoSpaceDE w:val="0"/>
        <w:autoSpaceDN w:val="0"/>
        <w:adjustRightInd w:val="0"/>
        <w:spacing w:after="120"/>
        <w:rPr>
          <w:rFonts w:ascii="Arial" w:hAnsi="Arial" w:cs="Arial"/>
          <w:b/>
          <w:bCs/>
          <w:sz w:val="22"/>
          <w:szCs w:val="22"/>
          <w:lang w:val="en-US"/>
        </w:rPr>
      </w:pPr>
      <w:r w:rsidRPr="00373A0C">
        <w:rPr>
          <w:rFonts w:ascii="Arial" w:hAnsi="Arial" w:cs="Arial"/>
          <w:b/>
          <w:bCs/>
          <w:sz w:val="22"/>
          <w:szCs w:val="22"/>
          <w:lang w:val="en-US"/>
        </w:rPr>
        <w:t>Selection criteria</w:t>
      </w:r>
    </w:p>
    <w:p w14:paraId="47BE5081" w14:textId="77777777" w:rsidR="002E76BE" w:rsidRPr="00373A0C" w:rsidRDefault="002E76BE" w:rsidP="00373A0C">
      <w:pPr>
        <w:widowControl w:val="0"/>
        <w:autoSpaceDE w:val="0"/>
        <w:autoSpaceDN w:val="0"/>
        <w:adjustRightInd w:val="0"/>
        <w:spacing w:after="120"/>
        <w:rPr>
          <w:rFonts w:ascii="Arial" w:hAnsi="Arial" w:cs="Arial"/>
          <w:sz w:val="22"/>
          <w:szCs w:val="22"/>
          <w:lang w:val="en-US"/>
        </w:rPr>
      </w:pPr>
      <w:r w:rsidRPr="00373A0C">
        <w:rPr>
          <w:rFonts w:ascii="Arial" w:hAnsi="Arial" w:cs="Arial"/>
          <w:sz w:val="22"/>
          <w:szCs w:val="22"/>
          <w:lang w:val="en-US"/>
        </w:rPr>
        <w:t>Applications will be scored using the following criteria: </w:t>
      </w:r>
    </w:p>
    <w:p w14:paraId="6B234D16" w14:textId="77777777" w:rsidR="002E76BE" w:rsidRPr="00373A0C" w:rsidRDefault="002E76BE" w:rsidP="00373A0C">
      <w:pPr>
        <w:pStyle w:val="Prrafodelista"/>
        <w:widowControl w:val="0"/>
        <w:numPr>
          <w:ilvl w:val="0"/>
          <w:numId w:val="12"/>
        </w:numPr>
        <w:tabs>
          <w:tab w:val="left" w:pos="220"/>
          <w:tab w:val="left" w:pos="720"/>
        </w:tabs>
        <w:autoSpaceDE w:val="0"/>
        <w:autoSpaceDN w:val="0"/>
        <w:adjustRightInd w:val="0"/>
        <w:spacing w:after="120"/>
        <w:rPr>
          <w:rFonts w:ascii="Arial" w:hAnsi="Arial" w:cs="Arial"/>
          <w:sz w:val="22"/>
          <w:szCs w:val="22"/>
          <w:lang w:val="en-US"/>
        </w:rPr>
      </w:pPr>
      <w:r w:rsidRPr="00373A0C">
        <w:rPr>
          <w:rFonts w:ascii="Arial" w:hAnsi="Arial" w:cs="Arial"/>
          <w:sz w:val="22"/>
          <w:szCs w:val="22"/>
          <w:lang w:val="en-US"/>
        </w:rPr>
        <w:t>Argued case for suitability of the host lab in relation to activities to be undertaken and relevance to applicant’s research program. </w:t>
      </w:r>
    </w:p>
    <w:p w14:paraId="4451383B" w14:textId="77777777" w:rsidR="002E76BE" w:rsidRPr="00373A0C" w:rsidRDefault="002E76BE" w:rsidP="00373A0C">
      <w:pPr>
        <w:pStyle w:val="Prrafodelista"/>
        <w:widowControl w:val="0"/>
        <w:numPr>
          <w:ilvl w:val="0"/>
          <w:numId w:val="12"/>
        </w:numPr>
        <w:tabs>
          <w:tab w:val="left" w:pos="220"/>
          <w:tab w:val="left" w:pos="720"/>
        </w:tabs>
        <w:autoSpaceDE w:val="0"/>
        <w:autoSpaceDN w:val="0"/>
        <w:adjustRightInd w:val="0"/>
        <w:spacing w:after="120"/>
        <w:rPr>
          <w:rFonts w:ascii="Arial" w:hAnsi="Arial" w:cs="Arial"/>
          <w:sz w:val="22"/>
          <w:szCs w:val="22"/>
          <w:lang w:val="en-US"/>
        </w:rPr>
      </w:pPr>
      <w:r w:rsidRPr="00373A0C">
        <w:rPr>
          <w:rFonts w:ascii="Arial" w:hAnsi="Arial" w:cs="Arial"/>
          <w:sz w:val="22"/>
          <w:szCs w:val="22"/>
          <w:lang w:val="en-US"/>
        </w:rPr>
        <w:t>The described benefit expected from the lab visit (long- and short-term).</w:t>
      </w:r>
    </w:p>
    <w:p w14:paraId="7AE7175B" w14:textId="77777777" w:rsidR="002E76BE" w:rsidRPr="00373A0C" w:rsidRDefault="002E76BE" w:rsidP="00373A0C">
      <w:pPr>
        <w:pStyle w:val="Prrafodelista"/>
        <w:widowControl w:val="0"/>
        <w:numPr>
          <w:ilvl w:val="0"/>
          <w:numId w:val="12"/>
        </w:numPr>
        <w:tabs>
          <w:tab w:val="left" w:pos="220"/>
          <w:tab w:val="left" w:pos="720"/>
        </w:tabs>
        <w:autoSpaceDE w:val="0"/>
        <w:autoSpaceDN w:val="0"/>
        <w:adjustRightInd w:val="0"/>
        <w:spacing w:after="120"/>
        <w:rPr>
          <w:rFonts w:ascii="Arial" w:hAnsi="Arial" w:cs="Arial"/>
          <w:sz w:val="22"/>
          <w:szCs w:val="22"/>
          <w:lang w:val="en-US"/>
        </w:rPr>
      </w:pPr>
      <w:r w:rsidRPr="00373A0C">
        <w:rPr>
          <w:rFonts w:ascii="Arial" w:hAnsi="Arial" w:cs="Arial"/>
          <w:sz w:val="22"/>
          <w:szCs w:val="22"/>
          <w:lang w:val="en-US"/>
        </w:rPr>
        <w:t>Applicant track record.</w:t>
      </w:r>
    </w:p>
    <w:p w14:paraId="0E77FBCB" w14:textId="77777777" w:rsidR="002E76BE" w:rsidRPr="00373A0C" w:rsidRDefault="002E76BE" w:rsidP="00373A0C">
      <w:pPr>
        <w:pStyle w:val="Prrafodelista"/>
        <w:widowControl w:val="0"/>
        <w:numPr>
          <w:ilvl w:val="0"/>
          <w:numId w:val="12"/>
        </w:numPr>
        <w:tabs>
          <w:tab w:val="left" w:pos="220"/>
          <w:tab w:val="left" w:pos="720"/>
        </w:tabs>
        <w:autoSpaceDE w:val="0"/>
        <w:autoSpaceDN w:val="0"/>
        <w:adjustRightInd w:val="0"/>
        <w:spacing w:after="120"/>
        <w:rPr>
          <w:rFonts w:ascii="Arial" w:hAnsi="Arial" w:cs="Arial"/>
          <w:sz w:val="22"/>
          <w:szCs w:val="22"/>
          <w:lang w:val="en-US"/>
        </w:rPr>
      </w:pPr>
      <w:r w:rsidRPr="00373A0C">
        <w:rPr>
          <w:rFonts w:ascii="Arial" w:hAnsi="Arial" w:cs="Arial"/>
          <w:sz w:val="22"/>
          <w:szCs w:val="22"/>
          <w:lang w:val="en-US"/>
        </w:rPr>
        <w:t>Applicant and sponsor contributions to local ISHR section. </w:t>
      </w:r>
    </w:p>
    <w:p w14:paraId="3FC064DC" w14:textId="77777777" w:rsidR="00373A0C" w:rsidRPr="00373A0C" w:rsidRDefault="00373A0C" w:rsidP="00373A0C">
      <w:pPr>
        <w:widowControl w:val="0"/>
        <w:autoSpaceDE w:val="0"/>
        <w:autoSpaceDN w:val="0"/>
        <w:adjustRightInd w:val="0"/>
        <w:spacing w:after="120"/>
        <w:rPr>
          <w:rFonts w:ascii="Arial" w:hAnsi="Arial" w:cs="Arial"/>
          <w:b/>
          <w:bCs/>
          <w:sz w:val="22"/>
          <w:szCs w:val="22"/>
          <w:lang w:val="en-US"/>
        </w:rPr>
      </w:pPr>
    </w:p>
    <w:p w14:paraId="5059E91B" w14:textId="6479BF92" w:rsidR="00373A0C" w:rsidRPr="00373A0C" w:rsidRDefault="002E76BE" w:rsidP="00373A0C">
      <w:pPr>
        <w:widowControl w:val="0"/>
        <w:autoSpaceDE w:val="0"/>
        <w:autoSpaceDN w:val="0"/>
        <w:adjustRightInd w:val="0"/>
        <w:spacing w:after="120"/>
        <w:rPr>
          <w:rFonts w:ascii="Arial" w:hAnsi="Arial" w:cs="Arial"/>
          <w:b/>
          <w:bCs/>
          <w:sz w:val="22"/>
          <w:szCs w:val="22"/>
          <w:lang w:val="en-US"/>
        </w:rPr>
      </w:pPr>
      <w:r w:rsidRPr="00373A0C">
        <w:rPr>
          <w:rFonts w:ascii="Arial" w:hAnsi="Arial" w:cs="Arial"/>
          <w:b/>
          <w:bCs/>
          <w:sz w:val="22"/>
          <w:szCs w:val="22"/>
          <w:lang w:val="en-US"/>
        </w:rPr>
        <w:lastRenderedPageBreak/>
        <w:t>Application process</w:t>
      </w:r>
    </w:p>
    <w:p w14:paraId="1554B5A1" w14:textId="77777777" w:rsidR="002E76BE" w:rsidRPr="00373A0C" w:rsidRDefault="002E76BE" w:rsidP="00373A0C">
      <w:pPr>
        <w:pStyle w:val="Prrafodelista"/>
        <w:widowControl w:val="0"/>
        <w:numPr>
          <w:ilvl w:val="0"/>
          <w:numId w:val="13"/>
        </w:numPr>
        <w:tabs>
          <w:tab w:val="left" w:pos="220"/>
          <w:tab w:val="left" w:pos="720"/>
        </w:tabs>
        <w:autoSpaceDE w:val="0"/>
        <w:autoSpaceDN w:val="0"/>
        <w:adjustRightInd w:val="0"/>
        <w:spacing w:after="120"/>
        <w:rPr>
          <w:rFonts w:ascii="Arial" w:hAnsi="Arial" w:cs="Arial"/>
          <w:sz w:val="22"/>
          <w:szCs w:val="22"/>
          <w:lang w:val="en-US"/>
        </w:rPr>
      </w:pPr>
      <w:r w:rsidRPr="00373A0C">
        <w:rPr>
          <w:rFonts w:ascii="Arial" w:hAnsi="Arial" w:cs="Arial"/>
          <w:sz w:val="22"/>
          <w:szCs w:val="22"/>
          <w:lang w:val="en-US"/>
        </w:rPr>
        <w:t>Applicants must identify and contact the principal investigator (PI) of the lab they would like to visit. Applicants are strongly advised to be highly selective in their contact with PIs, and only contact those labs that have a specific technique that is closely linked to their own research. It is highly </w:t>
      </w:r>
      <w:r w:rsidRPr="00373A0C">
        <w:rPr>
          <w:rFonts w:ascii="Arial" w:hAnsi="Arial" w:cs="Arial"/>
          <w:sz w:val="22"/>
          <w:szCs w:val="22"/>
          <w:u w:val="single"/>
          <w:lang w:val="en-US"/>
        </w:rPr>
        <w:t>undesirable</w:t>
      </w:r>
      <w:r w:rsidRPr="00373A0C">
        <w:rPr>
          <w:rFonts w:ascii="Arial" w:hAnsi="Arial" w:cs="Arial"/>
          <w:sz w:val="22"/>
          <w:szCs w:val="22"/>
          <w:lang w:val="en-US"/>
        </w:rPr>
        <w:t> to canvass multiple potential sponsors. </w:t>
      </w:r>
    </w:p>
    <w:p w14:paraId="6DC89BDB" w14:textId="77777777" w:rsidR="002E76BE" w:rsidRPr="00373A0C" w:rsidRDefault="002E76BE" w:rsidP="00373A0C">
      <w:pPr>
        <w:pStyle w:val="Prrafodelista"/>
        <w:widowControl w:val="0"/>
        <w:numPr>
          <w:ilvl w:val="0"/>
          <w:numId w:val="13"/>
        </w:numPr>
        <w:tabs>
          <w:tab w:val="left" w:pos="220"/>
          <w:tab w:val="left" w:pos="720"/>
        </w:tabs>
        <w:autoSpaceDE w:val="0"/>
        <w:autoSpaceDN w:val="0"/>
        <w:adjustRightInd w:val="0"/>
        <w:spacing w:after="120"/>
        <w:rPr>
          <w:rFonts w:ascii="Arial" w:hAnsi="Arial" w:cs="Arial"/>
          <w:sz w:val="22"/>
          <w:szCs w:val="22"/>
          <w:lang w:val="en-US"/>
        </w:rPr>
      </w:pPr>
      <w:r w:rsidRPr="00373A0C">
        <w:rPr>
          <w:rFonts w:ascii="Arial" w:hAnsi="Arial" w:cs="Arial"/>
          <w:sz w:val="22"/>
          <w:szCs w:val="22"/>
          <w:lang w:val="en-US"/>
        </w:rPr>
        <w:t>Applicants should use the ‘Initial Contact Pro-forma' (available for download via the ECI page on the World Congress website) and send this to the head of the laboratory that they would like to visit. </w:t>
      </w:r>
    </w:p>
    <w:p w14:paraId="44102482" w14:textId="77777777" w:rsidR="002E76BE" w:rsidRPr="00373A0C" w:rsidRDefault="002E76BE" w:rsidP="00373A0C">
      <w:pPr>
        <w:pStyle w:val="Prrafodelista"/>
        <w:widowControl w:val="0"/>
        <w:numPr>
          <w:ilvl w:val="0"/>
          <w:numId w:val="13"/>
        </w:numPr>
        <w:tabs>
          <w:tab w:val="left" w:pos="220"/>
          <w:tab w:val="left" w:pos="720"/>
        </w:tabs>
        <w:autoSpaceDE w:val="0"/>
        <w:autoSpaceDN w:val="0"/>
        <w:adjustRightInd w:val="0"/>
        <w:spacing w:after="120"/>
        <w:rPr>
          <w:rFonts w:ascii="Arial" w:hAnsi="Arial" w:cs="Arial"/>
          <w:sz w:val="22"/>
          <w:szCs w:val="22"/>
          <w:lang w:val="en-US"/>
        </w:rPr>
      </w:pPr>
      <w:r w:rsidRPr="00373A0C">
        <w:rPr>
          <w:rFonts w:ascii="Arial" w:hAnsi="Arial" w:cs="Arial"/>
          <w:sz w:val="22"/>
          <w:szCs w:val="22"/>
          <w:lang w:val="en-US"/>
        </w:rPr>
        <w:t>With PI agreement to sponsor, an application can be submitted to the ISHR, consisting of the Application Form and a one page CV. </w:t>
      </w:r>
    </w:p>
    <w:p w14:paraId="3A55641F" w14:textId="71CCD399" w:rsidR="002E76BE" w:rsidRPr="00373A0C" w:rsidRDefault="002E76BE" w:rsidP="00373A0C">
      <w:pPr>
        <w:pStyle w:val="Prrafodelista"/>
        <w:widowControl w:val="0"/>
        <w:numPr>
          <w:ilvl w:val="0"/>
          <w:numId w:val="13"/>
        </w:numPr>
        <w:tabs>
          <w:tab w:val="left" w:pos="220"/>
          <w:tab w:val="left" w:pos="720"/>
        </w:tabs>
        <w:autoSpaceDE w:val="0"/>
        <w:autoSpaceDN w:val="0"/>
        <w:adjustRightInd w:val="0"/>
        <w:spacing w:after="120"/>
        <w:rPr>
          <w:rFonts w:ascii="Arial" w:hAnsi="Arial" w:cs="Arial"/>
          <w:sz w:val="22"/>
          <w:szCs w:val="22"/>
          <w:lang w:val="en-US"/>
        </w:rPr>
      </w:pPr>
      <w:r w:rsidRPr="00373A0C">
        <w:rPr>
          <w:rFonts w:ascii="Arial" w:hAnsi="Arial" w:cs="Arial"/>
          <w:sz w:val="22"/>
          <w:szCs w:val="22"/>
          <w:lang w:val="en-US"/>
        </w:rPr>
        <w:t>All applications must be submitted to</w:t>
      </w:r>
      <w:r w:rsidR="00012471">
        <w:rPr>
          <w:rFonts w:ascii="Arial" w:hAnsi="Arial" w:cs="Arial"/>
          <w:sz w:val="22"/>
          <w:szCs w:val="22"/>
          <w:lang w:val="en-US"/>
        </w:rPr>
        <w:t xml:space="preserve"> </w:t>
      </w:r>
      <w:r w:rsidR="00012471">
        <w:rPr>
          <w:rFonts w:ascii="Arial" w:hAnsi="Arial" w:cs="Arial"/>
          <w:b/>
          <w:sz w:val="22"/>
          <w:szCs w:val="22"/>
          <w:lang w:val="en-US"/>
        </w:rPr>
        <w:t xml:space="preserve">Kate </w:t>
      </w:r>
      <w:r w:rsidR="00012471" w:rsidRPr="00012471">
        <w:rPr>
          <w:rFonts w:ascii="Arial" w:hAnsi="Arial" w:cs="Arial"/>
          <w:b/>
          <w:sz w:val="22"/>
          <w:szCs w:val="22"/>
          <w:lang w:val="en-US"/>
        </w:rPr>
        <w:t>Weeks (</w:t>
      </w:r>
      <w:hyperlink r:id="rId9" w:history="1">
        <w:r w:rsidR="00012471" w:rsidRPr="00D678AC">
          <w:rPr>
            <w:rStyle w:val="Hipervnculo"/>
            <w:rFonts w:ascii="Arial" w:hAnsi="Arial" w:cs="Arial"/>
            <w:b/>
            <w:sz w:val="22"/>
            <w:szCs w:val="22"/>
            <w:lang w:val="en-US"/>
          </w:rPr>
          <w:t>kate.weeks@kcl.ac.uk</w:t>
        </w:r>
      </w:hyperlink>
      <w:r w:rsidR="00012471">
        <w:rPr>
          <w:rFonts w:ascii="Arial" w:hAnsi="Arial" w:cs="Arial"/>
          <w:b/>
          <w:sz w:val="22"/>
          <w:szCs w:val="22"/>
          <w:lang w:val="en-US"/>
        </w:rPr>
        <w:t>)</w:t>
      </w:r>
      <w:r w:rsidRPr="00012471">
        <w:rPr>
          <w:rFonts w:ascii="Arial" w:hAnsi="Arial" w:cs="Arial"/>
          <w:b/>
          <w:sz w:val="22"/>
          <w:szCs w:val="22"/>
          <w:lang w:val="en-US"/>
        </w:rPr>
        <w:t> </w:t>
      </w:r>
      <w:r w:rsidR="00012471">
        <w:rPr>
          <w:rFonts w:ascii="Arial" w:hAnsi="Arial" w:cs="Arial"/>
          <w:b/>
          <w:bCs/>
          <w:sz w:val="22"/>
          <w:szCs w:val="22"/>
          <w:lang w:val="en-US"/>
        </w:rPr>
        <w:t xml:space="preserve">and </w:t>
      </w:r>
      <w:r w:rsidRPr="00373A0C">
        <w:rPr>
          <w:rFonts w:ascii="Arial" w:hAnsi="Arial" w:cs="Arial"/>
          <w:b/>
          <w:bCs/>
          <w:sz w:val="22"/>
          <w:szCs w:val="22"/>
          <w:lang w:val="en-US"/>
        </w:rPr>
        <w:t xml:space="preserve">Leslie </w:t>
      </w:r>
      <w:proofErr w:type="spellStart"/>
      <w:r w:rsidRPr="00373A0C">
        <w:rPr>
          <w:rFonts w:ascii="Arial" w:hAnsi="Arial" w:cs="Arial"/>
          <w:b/>
          <w:bCs/>
          <w:sz w:val="22"/>
          <w:szCs w:val="22"/>
          <w:lang w:val="en-US"/>
        </w:rPr>
        <w:t>Lobaugh</w:t>
      </w:r>
      <w:proofErr w:type="spellEnd"/>
      <w:r w:rsidRPr="00373A0C">
        <w:rPr>
          <w:rFonts w:ascii="Arial" w:hAnsi="Arial" w:cs="Arial"/>
          <w:b/>
          <w:bCs/>
          <w:sz w:val="22"/>
          <w:szCs w:val="22"/>
          <w:lang w:val="en-US"/>
        </w:rPr>
        <w:t xml:space="preserve"> (</w:t>
      </w:r>
      <w:hyperlink r:id="rId10" w:history="1">
        <w:r w:rsidRPr="00373A0C">
          <w:rPr>
            <w:rFonts w:ascii="Arial" w:hAnsi="Arial" w:cs="Arial"/>
            <w:b/>
            <w:bCs/>
            <w:color w:val="0000E9"/>
            <w:sz w:val="22"/>
            <w:szCs w:val="22"/>
            <w:u w:val="single" w:color="0000E9"/>
            <w:lang w:val="en-US"/>
          </w:rPr>
          <w:t>llobaugh@nc.rr.com</w:t>
        </w:r>
      </w:hyperlink>
      <w:r w:rsidRPr="00373A0C">
        <w:rPr>
          <w:rFonts w:ascii="Arial" w:hAnsi="Arial" w:cs="Arial"/>
          <w:b/>
          <w:bCs/>
          <w:sz w:val="22"/>
          <w:szCs w:val="22"/>
          <w:lang w:val="en-US"/>
        </w:rPr>
        <w:t>) by Monday 11th January, 2016</w:t>
      </w:r>
      <w:r w:rsidRPr="00373A0C">
        <w:rPr>
          <w:rFonts w:ascii="Arial" w:hAnsi="Arial" w:cs="Arial"/>
          <w:sz w:val="22"/>
          <w:szCs w:val="22"/>
          <w:lang w:val="en-US"/>
        </w:rPr>
        <w:t>. Applicants will be advised of the outcome of their application by Friday 22nd January.</w:t>
      </w:r>
    </w:p>
    <w:p w14:paraId="78EECB61" w14:textId="77777777" w:rsidR="002E76BE" w:rsidRPr="00373A0C" w:rsidRDefault="002E76BE" w:rsidP="00373A0C">
      <w:pPr>
        <w:pStyle w:val="Prrafodelista"/>
        <w:widowControl w:val="0"/>
        <w:numPr>
          <w:ilvl w:val="0"/>
          <w:numId w:val="13"/>
        </w:numPr>
        <w:tabs>
          <w:tab w:val="left" w:pos="220"/>
          <w:tab w:val="left" w:pos="720"/>
        </w:tabs>
        <w:autoSpaceDE w:val="0"/>
        <w:autoSpaceDN w:val="0"/>
        <w:adjustRightInd w:val="0"/>
        <w:spacing w:after="120"/>
        <w:rPr>
          <w:rFonts w:ascii="Arial" w:hAnsi="Arial" w:cs="Arial"/>
          <w:sz w:val="22"/>
          <w:szCs w:val="22"/>
          <w:lang w:val="en-US"/>
        </w:rPr>
      </w:pPr>
      <w:r w:rsidRPr="00373A0C">
        <w:rPr>
          <w:rFonts w:ascii="Arial" w:hAnsi="Arial" w:cs="Arial"/>
          <w:sz w:val="22"/>
          <w:szCs w:val="22"/>
          <w:lang w:val="en-US"/>
        </w:rPr>
        <w:t>Applicants are responsible for making all arrangements necessary for the lab visit, including negotiating suitable dates acceptable to the sponsoring PI. </w:t>
      </w:r>
    </w:p>
    <w:p w14:paraId="7BFD4B6F" w14:textId="77777777" w:rsidR="002E76BE" w:rsidRPr="00373A0C" w:rsidRDefault="002E76BE" w:rsidP="00373A0C">
      <w:pPr>
        <w:pStyle w:val="Prrafodelista"/>
        <w:widowControl w:val="0"/>
        <w:numPr>
          <w:ilvl w:val="0"/>
          <w:numId w:val="13"/>
        </w:numPr>
        <w:tabs>
          <w:tab w:val="left" w:pos="220"/>
          <w:tab w:val="left" w:pos="720"/>
        </w:tabs>
        <w:autoSpaceDE w:val="0"/>
        <w:autoSpaceDN w:val="0"/>
        <w:adjustRightInd w:val="0"/>
        <w:spacing w:after="120"/>
        <w:rPr>
          <w:rFonts w:ascii="Arial" w:hAnsi="Arial" w:cs="Arial"/>
          <w:sz w:val="22"/>
          <w:szCs w:val="22"/>
          <w:lang w:val="en-US"/>
        </w:rPr>
      </w:pPr>
      <w:r w:rsidRPr="00373A0C">
        <w:rPr>
          <w:rFonts w:ascii="Arial" w:hAnsi="Arial" w:cs="Arial"/>
          <w:sz w:val="22"/>
          <w:szCs w:val="22"/>
          <w:lang w:val="en-US"/>
        </w:rPr>
        <w:t>Bursaries can be used only to support travel and accommodation costs related to the lab visit, not laboratory expenses.  </w:t>
      </w:r>
    </w:p>
    <w:p w14:paraId="3F43E3A0" w14:textId="77777777" w:rsidR="002E76BE" w:rsidRPr="00373A0C" w:rsidRDefault="002E76BE" w:rsidP="00373A0C">
      <w:pPr>
        <w:pStyle w:val="Prrafodelista"/>
        <w:widowControl w:val="0"/>
        <w:numPr>
          <w:ilvl w:val="0"/>
          <w:numId w:val="13"/>
        </w:numPr>
        <w:tabs>
          <w:tab w:val="left" w:pos="220"/>
          <w:tab w:val="left" w:pos="720"/>
        </w:tabs>
        <w:autoSpaceDE w:val="0"/>
        <w:autoSpaceDN w:val="0"/>
        <w:adjustRightInd w:val="0"/>
        <w:spacing w:after="120"/>
        <w:rPr>
          <w:rFonts w:ascii="Arial" w:hAnsi="Arial" w:cs="Arial"/>
          <w:sz w:val="22"/>
          <w:szCs w:val="22"/>
          <w:lang w:val="en-US"/>
        </w:rPr>
      </w:pPr>
      <w:r w:rsidRPr="00373A0C">
        <w:rPr>
          <w:rFonts w:ascii="Arial" w:hAnsi="Arial" w:cs="Arial"/>
          <w:sz w:val="22"/>
          <w:szCs w:val="22"/>
          <w:lang w:val="en-US"/>
        </w:rPr>
        <w:t>All bursary recipients will be required to provide a brief review of their lab visit, to be submitted to the Council within 3 months after their visit. Reports may be selected for publication in Hearts, News &amp; Views. </w:t>
      </w:r>
    </w:p>
    <w:p w14:paraId="2A80462C" w14:textId="77777777" w:rsidR="006F3486" w:rsidRPr="00373A0C" w:rsidRDefault="006F3486" w:rsidP="00373A0C">
      <w:pPr>
        <w:spacing w:after="120"/>
        <w:rPr>
          <w:rFonts w:ascii="Arial" w:hAnsi="Arial" w:cs="Arial"/>
          <w:sz w:val="22"/>
          <w:szCs w:val="22"/>
        </w:rPr>
      </w:pPr>
    </w:p>
    <w:p w14:paraId="1610BFAF" w14:textId="13761048" w:rsidR="00F40BA7" w:rsidRPr="00373A0C" w:rsidRDefault="0010770C" w:rsidP="00373A0C">
      <w:pPr>
        <w:spacing w:after="120"/>
        <w:rPr>
          <w:rFonts w:ascii="Arial" w:hAnsi="Arial" w:cs="Arial"/>
          <w:sz w:val="22"/>
          <w:szCs w:val="22"/>
        </w:rPr>
      </w:pPr>
      <w:r w:rsidRPr="00373A0C">
        <w:rPr>
          <w:rFonts w:ascii="Arial" w:hAnsi="Arial" w:cs="Arial"/>
          <w:sz w:val="22"/>
          <w:szCs w:val="22"/>
          <w:lang w:val="en-US"/>
        </w:rPr>
        <w:t>Please visit the ECI page on the World Congress website to download the Initial Contac</w:t>
      </w:r>
      <w:r w:rsidR="00373A0C" w:rsidRPr="00373A0C">
        <w:rPr>
          <w:rFonts w:ascii="Arial" w:hAnsi="Arial" w:cs="Arial"/>
          <w:sz w:val="22"/>
          <w:szCs w:val="22"/>
          <w:lang w:val="en-US"/>
        </w:rPr>
        <w:t>t Pro-Forma and the Application F</w:t>
      </w:r>
      <w:r w:rsidRPr="00373A0C">
        <w:rPr>
          <w:rFonts w:ascii="Arial" w:hAnsi="Arial" w:cs="Arial"/>
          <w:sz w:val="22"/>
          <w:szCs w:val="22"/>
          <w:lang w:val="en-US"/>
        </w:rPr>
        <w:t>orm: </w:t>
      </w:r>
      <w:r w:rsidR="00373A0C" w:rsidRPr="00373A0C">
        <w:rPr>
          <w:rFonts w:ascii="Arial" w:hAnsi="Arial" w:cs="Arial"/>
          <w:sz w:val="22"/>
          <w:szCs w:val="22"/>
          <w:lang w:val="en-US"/>
        </w:rPr>
        <w:br/>
      </w:r>
      <w:hyperlink r:id="rId11" w:history="1">
        <w:r w:rsidRPr="00373A0C">
          <w:rPr>
            <w:rFonts w:ascii="Arial" w:hAnsi="Arial" w:cs="Arial"/>
            <w:color w:val="0000E9"/>
            <w:sz w:val="22"/>
            <w:szCs w:val="22"/>
            <w:u w:val="single" w:color="0000E9"/>
            <w:lang w:val="en-US"/>
          </w:rPr>
          <w:t>http://www.ishrbuenosaires2016.org.ar/early-career-investigator-events</w:t>
        </w:r>
      </w:hyperlink>
      <w:r w:rsidRPr="00373A0C">
        <w:rPr>
          <w:rFonts w:ascii="Arial" w:hAnsi="Arial" w:cs="Arial"/>
          <w:sz w:val="22"/>
          <w:szCs w:val="22"/>
          <w:lang w:val="en-US"/>
        </w:rPr>
        <w:t xml:space="preserve">. </w:t>
      </w:r>
    </w:p>
    <w:sectPr w:rsidR="00F40BA7" w:rsidRPr="00373A0C" w:rsidSect="00373A0C">
      <w:pgSz w:w="11900" w:h="16840"/>
      <w:pgMar w:top="1134" w:right="1127" w:bottom="1134"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D1940" w14:textId="77777777" w:rsidR="00F418CD" w:rsidRDefault="00F418CD" w:rsidP="004B0A8D">
      <w:r>
        <w:separator/>
      </w:r>
    </w:p>
  </w:endnote>
  <w:endnote w:type="continuationSeparator" w:id="0">
    <w:p w14:paraId="224EEBC4" w14:textId="77777777" w:rsidR="00F418CD" w:rsidRDefault="00F418CD" w:rsidP="004B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54AC5" w14:textId="77777777" w:rsidR="00F418CD" w:rsidRDefault="00F418CD" w:rsidP="004B0A8D">
      <w:r>
        <w:separator/>
      </w:r>
    </w:p>
  </w:footnote>
  <w:footnote w:type="continuationSeparator" w:id="0">
    <w:p w14:paraId="3E96890D" w14:textId="77777777" w:rsidR="00F418CD" w:rsidRDefault="00F418CD" w:rsidP="004B0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43419E"/>
    <w:multiLevelType w:val="hybridMultilevel"/>
    <w:tmpl w:val="1AC41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77CD6"/>
    <w:multiLevelType w:val="hybridMultilevel"/>
    <w:tmpl w:val="DEB6A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D5B20"/>
    <w:multiLevelType w:val="hybridMultilevel"/>
    <w:tmpl w:val="4A9A5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73E9F"/>
    <w:multiLevelType w:val="hybridMultilevel"/>
    <w:tmpl w:val="37787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75F26"/>
    <w:multiLevelType w:val="hybridMultilevel"/>
    <w:tmpl w:val="D9320F62"/>
    <w:lvl w:ilvl="0" w:tplc="A862469E">
      <w:start w:val="1"/>
      <w:numFmt w:val="decimal"/>
      <w:lvlText w:val="%1."/>
      <w:lvlJc w:val="left"/>
      <w:pPr>
        <w:ind w:left="720" w:hanging="360"/>
      </w:pPr>
      <w:rPr>
        <w:rFonts w:asciiTheme="majorHAnsi" w:hAnsiTheme="maj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E65430"/>
    <w:multiLevelType w:val="hybridMultilevel"/>
    <w:tmpl w:val="D54C50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C8A5C8B"/>
    <w:multiLevelType w:val="hybridMultilevel"/>
    <w:tmpl w:val="454CE4C4"/>
    <w:lvl w:ilvl="0" w:tplc="9C48F98E">
      <w:start w:val="2"/>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3C30564"/>
    <w:multiLevelType w:val="hybridMultilevel"/>
    <w:tmpl w:val="E692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F235AF"/>
    <w:multiLevelType w:val="hybridMultilevel"/>
    <w:tmpl w:val="8960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81D3C"/>
    <w:multiLevelType w:val="hybridMultilevel"/>
    <w:tmpl w:val="58FAE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2"/>
  </w:num>
  <w:num w:numId="5">
    <w:abstractNumId w:val="10"/>
  </w:num>
  <w:num w:numId="6">
    <w:abstractNumId w:val="9"/>
  </w:num>
  <w:num w:numId="7">
    <w:abstractNumId w:val="8"/>
  </w:num>
  <w:num w:numId="8">
    <w:abstractNumId w:val="0"/>
  </w:num>
  <w:num w:numId="9">
    <w:abstractNumId w:val="1"/>
  </w:num>
  <w:num w:numId="10">
    <w:abstractNumId w:val="2"/>
  </w:num>
  <w:num w:numId="11">
    <w:abstractNumId w:val="1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02"/>
    <w:rsid w:val="00012471"/>
    <w:rsid w:val="00016F7A"/>
    <w:rsid w:val="0006200E"/>
    <w:rsid w:val="000A42CF"/>
    <w:rsid w:val="000C42E7"/>
    <w:rsid w:val="000D001F"/>
    <w:rsid w:val="000D46CE"/>
    <w:rsid w:val="00104334"/>
    <w:rsid w:val="0010770C"/>
    <w:rsid w:val="001F3460"/>
    <w:rsid w:val="001F3871"/>
    <w:rsid w:val="00220C27"/>
    <w:rsid w:val="002514B1"/>
    <w:rsid w:val="0025588F"/>
    <w:rsid w:val="0026251D"/>
    <w:rsid w:val="002E76BE"/>
    <w:rsid w:val="003070FE"/>
    <w:rsid w:val="00346EF4"/>
    <w:rsid w:val="00373A0C"/>
    <w:rsid w:val="00375602"/>
    <w:rsid w:val="003853F8"/>
    <w:rsid w:val="004B0A8D"/>
    <w:rsid w:val="004F46B6"/>
    <w:rsid w:val="00510B13"/>
    <w:rsid w:val="006B6236"/>
    <w:rsid w:val="006D2FD6"/>
    <w:rsid w:val="006F3486"/>
    <w:rsid w:val="0076067F"/>
    <w:rsid w:val="00764339"/>
    <w:rsid w:val="00775B22"/>
    <w:rsid w:val="00776BEC"/>
    <w:rsid w:val="007855CA"/>
    <w:rsid w:val="007F1FE2"/>
    <w:rsid w:val="008A5DD6"/>
    <w:rsid w:val="008B046E"/>
    <w:rsid w:val="008B0958"/>
    <w:rsid w:val="008C2BD6"/>
    <w:rsid w:val="0093403E"/>
    <w:rsid w:val="00950FFA"/>
    <w:rsid w:val="009B4F66"/>
    <w:rsid w:val="009C63CD"/>
    <w:rsid w:val="009E6E7D"/>
    <w:rsid w:val="009F2DE4"/>
    <w:rsid w:val="00A05331"/>
    <w:rsid w:val="00A36877"/>
    <w:rsid w:val="00A43BF1"/>
    <w:rsid w:val="00A53D2C"/>
    <w:rsid w:val="00AE019D"/>
    <w:rsid w:val="00B5635D"/>
    <w:rsid w:val="00B80E69"/>
    <w:rsid w:val="00B82A0A"/>
    <w:rsid w:val="00BA4A30"/>
    <w:rsid w:val="00BE7248"/>
    <w:rsid w:val="00C14F50"/>
    <w:rsid w:val="00C35DD1"/>
    <w:rsid w:val="00CD7815"/>
    <w:rsid w:val="00D230E1"/>
    <w:rsid w:val="00D942D8"/>
    <w:rsid w:val="00DE034D"/>
    <w:rsid w:val="00E80380"/>
    <w:rsid w:val="00E81F71"/>
    <w:rsid w:val="00F40BA7"/>
    <w:rsid w:val="00F418CD"/>
    <w:rsid w:val="00F52141"/>
    <w:rsid w:val="00FA257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0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251D"/>
    <w:pPr>
      <w:ind w:left="720"/>
      <w:contextualSpacing/>
    </w:pPr>
  </w:style>
  <w:style w:type="character" w:styleId="Hipervnculo">
    <w:name w:val="Hyperlink"/>
    <w:basedOn w:val="Fuentedeprrafopredeter"/>
    <w:uiPriority w:val="99"/>
    <w:unhideWhenUsed/>
    <w:rsid w:val="006F3486"/>
    <w:rPr>
      <w:color w:val="0000FF" w:themeColor="hyperlink"/>
      <w:u w:val="single"/>
    </w:rPr>
  </w:style>
  <w:style w:type="paragraph" w:styleId="Textodeglobo">
    <w:name w:val="Balloon Text"/>
    <w:basedOn w:val="Normal"/>
    <w:link w:val="TextodegloboCar"/>
    <w:uiPriority w:val="99"/>
    <w:semiHidden/>
    <w:unhideWhenUsed/>
    <w:rsid w:val="00775B2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75B22"/>
    <w:rPr>
      <w:rFonts w:ascii="Lucida Grande" w:hAnsi="Lucida Grande" w:cs="Lucida Grande"/>
      <w:sz w:val="18"/>
      <w:szCs w:val="18"/>
    </w:rPr>
  </w:style>
  <w:style w:type="paragraph" w:styleId="Encabezado">
    <w:name w:val="header"/>
    <w:basedOn w:val="Normal"/>
    <w:link w:val="EncabezadoCar"/>
    <w:uiPriority w:val="99"/>
    <w:unhideWhenUsed/>
    <w:rsid w:val="004B0A8D"/>
    <w:pPr>
      <w:tabs>
        <w:tab w:val="center" w:pos="4320"/>
        <w:tab w:val="right" w:pos="8640"/>
      </w:tabs>
    </w:pPr>
  </w:style>
  <w:style w:type="character" w:customStyle="1" w:styleId="EncabezadoCar">
    <w:name w:val="Encabezado Car"/>
    <w:basedOn w:val="Fuentedeprrafopredeter"/>
    <w:link w:val="Encabezado"/>
    <w:uiPriority w:val="99"/>
    <w:rsid w:val="004B0A8D"/>
  </w:style>
  <w:style w:type="paragraph" w:styleId="Piedepgina">
    <w:name w:val="footer"/>
    <w:basedOn w:val="Normal"/>
    <w:link w:val="PiedepginaCar"/>
    <w:uiPriority w:val="99"/>
    <w:unhideWhenUsed/>
    <w:rsid w:val="004B0A8D"/>
    <w:pPr>
      <w:tabs>
        <w:tab w:val="center" w:pos="4320"/>
        <w:tab w:val="right" w:pos="8640"/>
      </w:tabs>
    </w:pPr>
  </w:style>
  <w:style w:type="character" w:customStyle="1" w:styleId="PiedepginaCar">
    <w:name w:val="Pie de página Car"/>
    <w:basedOn w:val="Fuentedeprrafopredeter"/>
    <w:link w:val="Piedepgina"/>
    <w:uiPriority w:val="99"/>
    <w:rsid w:val="004B0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251D"/>
    <w:pPr>
      <w:ind w:left="720"/>
      <w:contextualSpacing/>
    </w:pPr>
  </w:style>
  <w:style w:type="character" w:styleId="Hipervnculo">
    <w:name w:val="Hyperlink"/>
    <w:basedOn w:val="Fuentedeprrafopredeter"/>
    <w:uiPriority w:val="99"/>
    <w:unhideWhenUsed/>
    <w:rsid w:val="006F3486"/>
    <w:rPr>
      <w:color w:val="0000FF" w:themeColor="hyperlink"/>
      <w:u w:val="single"/>
    </w:rPr>
  </w:style>
  <w:style w:type="paragraph" w:styleId="Textodeglobo">
    <w:name w:val="Balloon Text"/>
    <w:basedOn w:val="Normal"/>
    <w:link w:val="TextodegloboCar"/>
    <w:uiPriority w:val="99"/>
    <w:semiHidden/>
    <w:unhideWhenUsed/>
    <w:rsid w:val="00775B2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75B22"/>
    <w:rPr>
      <w:rFonts w:ascii="Lucida Grande" w:hAnsi="Lucida Grande" w:cs="Lucida Grande"/>
      <w:sz w:val="18"/>
      <w:szCs w:val="18"/>
    </w:rPr>
  </w:style>
  <w:style w:type="paragraph" w:styleId="Encabezado">
    <w:name w:val="header"/>
    <w:basedOn w:val="Normal"/>
    <w:link w:val="EncabezadoCar"/>
    <w:uiPriority w:val="99"/>
    <w:unhideWhenUsed/>
    <w:rsid w:val="004B0A8D"/>
    <w:pPr>
      <w:tabs>
        <w:tab w:val="center" w:pos="4320"/>
        <w:tab w:val="right" w:pos="8640"/>
      </w:tabs>
    </w:pPr>
  </w:style>
  <w:style w:type="character" w:customStyle="1" w:styleId="EncabezadoCar">
    <w:name w:val="Encabezado Car"/>
    <w:basedOn w:val="Fuentedeprrafopredeter"/>
    <w:link w:val="Encabezado"/>
    <w:uiPriority w:val="99"/>
    <w:rsid w:val="004B0A8D"/>
  </w:style>
  <w:style w:type="paragraph" w:styleId="Piedepgina">
    <w:name w:val="footer"/>
    <w:basedOn w:val="Normal"/>
    <w:link w:val="PiedepginaCar"/>
    <w:uiPriority w:val="99"/>
    <w:unhideWhenUsed/>
    <w:rsid w:val="004B0A8D"/>
    <w:pPr>
      <w:tabs>
        <w:tab w:val="center" w:pos="4320"/>
        <w:tab w:val="right" w:pos="8640"/>
      </w:tabs>
    </w:pPr>
  </w:style>
  <w:style w:type="character" w:customStyle="1" w:styleId="PiedepginaCar">
    <w:name w:val="Pie de página Car"/>
    <w:basedOn w:val="Fuentedeprrafopredeter"/>
    <w:link w:val="Piedepgina"/>
    <w:uiPriority w:val="99"/>
    <w:rsid w:val="004B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hrbuenosaires2016.org.ar/early-career-investigator-eve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hrbuenosaires2016.org.ar/early-career-investigator-events" TargetMode="External"/><Relationship Id="rId5" Type="http://schemas.openxmlformats.org/officeDocument/2006/relationships/webSettings" Target="webSettings.xml"/><Relationship Id="rId10" Type="http://schemas.openxmlformats.org/officeDocument/2006/relationships/hyperlink" Target="mailto:llobaugh@nc.rr.com" TargetMode="External"/><Relationship Id="rId4" Type="http://schemas.openxmlformats.org/officeDocument/2006/relationships/settings" Target="settings.xml"/><Relationship Id="rId9" Type="http://schemas.openxmlformats.org/officeDocument/2006/relationships/hyperlink" Target="mailto:kate.weeks@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796</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Unimelb</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Richard Bell</dc:creator>
  <cp:keywords/>
  <cp:lastModifiedBy>Carlos A. Valverde</cp:lastModifiedBy>
  <cp:revision>4</cp:revision>
  <cp:lastPrinted>2015-12-07T13:33:00Z</cp:lastPrinted>
  <dcterms:created xsi:type="dcterms:W3CDTF">2016-01-06T13:25:00Z</dcterms:created>
  <dcterms:modified xsi:type="dcterms:W3CDTF">2016-01-06T13:41:00Z</dcterms:modified>
</cp:coreProperties>
</file>